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1" w:name="letter-of-intent"/>
    <w:p>
      <w:pPr>
        <w:pStyle w:val="Heading1"/>
      </w:pPr>
      <w:r>
        <w:t xml:space="preserve">LETTER OF INTENT</w:t>
      </w:r>
    </w:p>
    <w:bookmarkStart w:id="20" w:name="crl-technologies-pilot-program"/>
    <w:p>
      <w:pPr>
        <w:pStyle w:val="Heading2"/>
      </w:pPr>
      <w:r>
        <w:t xml:space="preserve">CRL Technologies Pilot Program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________________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CRL Technologies Inc.</w:t>
      </w:r>
      <w:r>
        <w:br/>
      </w:r>
      <w:r>
        <w:t xml:space="preserve">251 Little Falls Drive</w:t>
      </w:r>
      <w:r>
        <w:br/>
      </w:r>
      <w:r>
        <w:t xml:space="preserve">Wilmington, DE 19808</w:t>
      </w:r>
      <w:r>
        <w:br/>
      </w:r>
      <w:r>
        <w:t xml:space="preserve">United States</w:t>
      </w:r>
    </w:p>
    <w:p>
      <w:pPr>
        <w:pStyle w:val="BodyText"/>
      </w:pPr>
      <w:r>
        <w:rPr>
          <w:bCs/>
          <w:b/>
        </w:rPr>
        <w:t xml:space="preserve">Attention:</w:t>
      </w:r>
      <w:r>
        <w:t xml:space="preserve"> </w:t>
      </w:r>
      <w:r>
        <w:t xml:space="preserve">Andrea Riccardo Galié, CEO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support@crl-technologies.com</w:t>
      </w:r>
    </w:p>
    <w:p>
      <w:r>
        <w:pict>
          <v:rect style="width:0;height:1.5pt" o:hralign="center" o:hrstd="t" o:hr="t"/>
        </w:pict>
      </w:r>
    </w:p>
    <w:bookmarkEnd w:id="20"/>
    <w:bookmarkStart w:id="21" w:name="parties"/>
    <w:p>
      <w:pPr>
        <w:pStyle w:val="Heading2"/>
      </w:pPr>
      <w:r>
        <w:t xml:space="preserve">1. PARTIES</w:t>
      </w:r>
    </w:p>
    <w:p>
      <w:pPr>
        <w:pStyle w:val="FirstParagraph"/>
      </w:pPr>
      <w:r>
        <w:rPr>
          <w:bCs/>
          <w:b/>
        </w:rPr>
        <w:t xml:space="preserve">Prospective Partner (the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Broker</w:t>
      </w:r>
      <w:r>
        <w:rPr>
          <w:bCs/>
          <w:b/>
        </w:rPr>
        <w:t xml:space="preserve">”</w:t>
      </w:r>
      <w:r>
        <w:rPr>
          <w:bCs/>
          <w:b/>
        </w:rPr>
        <w:t xml:space="preserve">):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Legal Entity Name:</w:t>
      </w:r>
      <w:r>
        <w:t xml:space="preserve"> </w:t>
      </w:r>
      <w:r>
        <w:t xml:space="preserve">_____________________________________________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Registration Number:</w:t>
      </w:r>
      <w:r>
        <w:t xml:space="preserve"> </w:t>
      </w:r>
      <w:r>
        <w:t xml:space="preserve">_____________________________________________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Registered Address:</w:t>
      </w:r>
      <w:r>
        <w:t xml:space="preserve"> </w:t>
      </w:r>
      <w:r>
        <w:t xml:space="preserve">_____________________________________________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Regulatory Authority:</w:t>
      </w:r>
      <w:r>
        <w:t xml:space="preserve"> </w:t>
      </w:r>
      <w:r>
        <w:t xml:space="preserve">_____________________________________________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License Number:</w:t>
      </w:r>
      <w:r>
        <w:t xml:space="preserve"> </w:t>
      </w:r>
      <w:r>
        <w:t xml:space="preserve">_____________________________________________</w:t>
      </w:r>
    </w:p>
    <w:p>
      <w:pPr>
        <w:pStyle w:val="FirstParagraph"/>
      </w:pPr>
      <w:r>
        <w:rPr>
          <w:bCs/>
          <w:b/>
        </w:rPr>
        <w:t xml:space="preserve">Primary Contact: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Name &amp; Title:</w:t>
      </w:r>
      <w:r>
        <w:t xml:space="preserve"> </w:t>
      </w:r>
      <w:r>
        <w:t xml:space="preserve">_____________________________________________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_____________________________________________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_____________________________________________</w:t>
      </w:r>
    </w:p>
    <w:p>
      <w:pPr>
        <w:pStyle w:val="BodyText"/>
      </w:pPr>
      <w:r>
        <w:rPr>
          <w:bCs/>
          <w:b/>
        </w:rPr>
        <w:t xml:space="preserve">Technical Contact: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Name &amp; Title:</w:t>
      </w:r>
      <w:r>
        <w:t xml:space="preserve"> </w:t>
      </w:r>
      <w:r>
        <w:t xml:space="preserve">_____________________________________________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_____________________________________________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_____________________________________________</w:t>
      </w:r>
    </w:p>
    <w:p>
      <w:r>
        <w:pict>
          <v:rect style="width:0;height:1.5pt" o:hralign="center" o:hrstd="t" o:hr="t"/>
        </w:pict>
      </w:r>
    </w:p>
    <w:bookmarkEnd w:id="21"/>
    <w:bookmarkStart w:id="22" w:name="intent-to-evaluate"/>
    <w:p>
      <w:pPr>
        <w:pStyle w:val="Heading2"/>
      </w:pPr>
      <w:r>
        <w:t xml:space="preserve">2. INTENT TO EVALUATE</w:t>
      </w:r>
    </w:p>
    <w:p>
      <w:pPr>
        <w:pStyle w:val="FirstParagraph"/>
      </w:pPr>
      <w:r>
        <w:t xml:space="preserve">The Broker hereby expresses its intent to evaluate the</w:t>
      </w:r>
      <w:r>
        <w:t xml:space="preserve"> </w:t>
      </w:r>
      <w:r>
        <w:rPr>
          <w:bCs/>
          <w:b/>
        </w:rPr>
        <w:t xml:space="preserve">CRL (Conditional Retroactive Leverage) White Label API</w:t>
      </w:r>
      <w:r>
        <w:t xml:space="preserve"> </w:t>
      </w:r>
      <w:r>
        <w:t xml:space="preserve">for potential integration into its derivatives offering for professional clients under MiFID II Eligible Counterparty or Professional Client classification.</w:t>
      </w:r>
    </w:p>
    <w:p>
      <w:r>
        <w:pict>
          <v:rect style="width:0;height:1.5pt" o:hralign="center" o:hrstd="t" o:hr="t"/>
        </w:pict>
      </w:r>
    </w:p>
    <w:bookmarkEnd w:id="22"/>
    <w:bookmarkStart w:id="27" w:name="pilot-program-scope"/>
    <w:p>
      <w:pPr>
        <w:pStyle w:val="Heading2"/>
      </w:pPr>
      <w:r>
        <w:t xml:space="preserve">3. PILOT PROGRAM SCOPE</w:t>
      </w:r>
    </w:p>
    <w:bookmarkStart w:id="23" w:name="products-to-evaluate"/>
    <w:p>
      <w:pPr>
        <w:pStyle w:val="Heading3"/>
      </w:pPr>
      <w:r>
        <w:t xml:space="preserve">3.1 Products to Evaluate</w:t>
      </w:r>
    </w:p>
    <w:p>
      <w:pPr>
        <w:numPr>
          <w:ilvl w:val="0"/>
          <w:numId w:val="1002"/>
        </w:numPr>
        <w:pStyle w:val="Compact"/>
      </w:pPr>
      <w:r>
        <w:t xml:space="preserve">☐ CRL Base™ (retroactive leverage with trigger)</w:t>
      </w:r>
    </w:p>
    <w:p>
      <w:pPr>
        <w:numPr>
          <w:ilvl w:val="0"/>
          <w:numId w:val="1002"/>
        </w:numPr>
        <w:pStyle w:val="Compact"/>
      </w:pPr>
      <w:r>
        <w:t xml:space="preserve">☐ CRL Overlay™ (integration with existing positions)</w:t>
      </w:r>
    </w:p>
    <w:p>
      <w:pPr>
        <w:numPr>
          <w:ilvl w:val="0"/>
          <w:numId w:val="1002"/>
        </w:numPr>
        <w:pStyle w:val="Compact"/>
      </w:pPr>
      <w:r>
        <w:t xml:space="preserve">☐ CRL Shield™ (downside protection layer)</w:t>
      </w:r>
    </w:p>
    <w:bookmarkEnd w:id="23"/>
    <w:bookmarkStart w:id="24" w:name="target-asset-classes"/>
    <w:p>
      <w:pPr>
        <w:pStyle w:val="Heading3"/>
      </w:pPr>
      <w:r>
        <w:t xml:space="preserve">3.2 Target Asset Classes</w:t>
      </w:r>
    </w:p>
    <w:p>
      <w:pPr>
        <w:numPr>
          <w:ilvl w:val="0"/>
          <w:numId w:val="1003"/>
        </w:numPr>
        <w:pStyle w:val="Compact"/>
      </w:pPr>
      <w:r>
        <w:t xml:space="preserve">☐ FX Majors (EUR/USD, GBP/USD, USD/JPY)</w:t>
      </w:r>
    </w:p>
    <w:p>
      <w:pPr>
        <w:numPr>
          <w:ilvl w:val="0"/>
          <w:numId w:val="1003"/>
        </w:numPr>
        <w:pStyle w:val="Compact"/>
      </w:pPr>
      <w:r>
        <w:t xml:space="preserve">☐ Equity Indices (S&amp;P 500, DAX, FTSE 100)</w:t>
      </w:r>
    </w:p>
    <w:p>
      <w:pPr>
        <w:numPr>
          <w:ilvl w:val="0"/>
          <w:numId w:val="1003"/>
        </w:numPr>
        <w:pStyle w:val="Compact"/>
      </w:pPr>
      <w:r>
        <w:t xml:space="preserve">☐ Commodities (Gold, Oil, Natural Gas)</w:t>
      </w:r>
    </w:p>
    <w:p>
      <w:pPr>
        <w:numPr>
          <w:ilvl w:val="0"/>
          <w:numId w:val="1003"/>
        </w:numPr>
        <w:pStyle w:val="Compact"/>
      </w:pPr>
      <w:r>
        <w:t xml:space="preserve">☐ Other: _____________________________________________</w:t>
      </w:r>
    </w:p>
    <w:bookmarkEnd w:id="24"/>
    <w:bookmarkStart w:id="25" w:name="estimated-monthly-volume"/>
    <w:p>
      <w:pPr>
        <w:pStyle w:val="Heading3"/>
      </w:pPr>
      <w:r>
        <w:t xml:space="preserve">3.3 Estimated Monthly Volume</w:t>
      </w:r>
    </w:p>
    <w:p>
      <w:pPr>
        <w:numPr>
          <w:ilvl w:val="0"/>
          <w:numId w:val="1004"/>
        </w:numPr>
        <w:pStyle w:val="Compact"/>
      </w:pPr>
      <w:r>
        <w:t xml:space="preserve">☐ €10M - €50M</w:t>
      </w:r>
    </w:p>
    <w:p>
      <w:pPr>
        <w:numPr>
          <w:ilvl w:val="0"/>
          <w:numId w:val="1004"/>
        </w:numPr>
        <w:pStyle w:val="Compact"/>
      </w:pPr>
      <w:r>
        <w:t xml:space="preserve">☐ €50M - €100M</w:t>
      </w:r>
    </w:p>
    <w:p>
      <w:pPr>
        <w:numPr>
          <w:ilvl w:val="0"/>
          <w:numId w:val="1004"/>
        </w:numPr>
        <w:pStyle w:val="Compact"/>
      </w:pPr>
      <w:r>
        <w:t xml:space="preserve">☐ €100M - €500M</w:t>
      </w:r>
    </w:p>
    <w:p>
      <w:pPr>
        <w:numPr>
          <w:ilvl w:val="0"/>
          <w:numId w:val="1004"/>
        </w:numPr>
        <w:pStyle w:val="Compact"/>
      </w:pPr>
      <w:r>
        <w:t xml:space="preserve">☐ €500M+</w:t>
      </w:r>
    </w:p>
    <w:bookmarkEnd w:id="25"/>
    <w:bookmarkStart w:id="26" w:name="pilot-duration"/>
    <w:p>
      <w:pPr>
        <w:pStyle w:val="Heading3"/>
      </w:pPr>
      <w:r>
        <w:t xml:space="preserve">3.4 Pilot Duration</w:t>
      </w:r>
    </w:p>
    <w:p>
      <w:pPr>
        <w:pStyle w:val="FirstParagraph"/>
      </w:pPr>
      <w:r>
        <w:t xml:space="preserve">Expected pilot period: _______ months (typically 3-6 months)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1" w:name="technical-requirements"/>
    <w:p>
      <w:pPr>
        <w:pStyle w:val="Heading2"/>
      </w:pPr>
      <w:r>
        <w:t xml:space="preserve">4. TECHNICAL REQUIREMENTS</w:t>
      </w:r>
    </w:p>
    <w:bookmarkStart w:id="28" w:name="integration-type"/>
    <w:p>
      <w:pPr>
        <w:pStyle w:val="Heading3"/>
      </w:pPr>
      <w:r>
        <w:t xml:space="preserve">4.1 Integration Type</w:t>
      </w:r>
    </w:p>
    <w:p>
      <w:pPr>
        <w:numPr>
          <w:ilvl w:val="0"/>
          <w:numId w:val="1005"/>
        </w:numPr>
        <w:pStyle w:val="Compact"/>
      </w:pPr>
      <w:r>
        <w:t xml:space="preserve">☐ REST API (recommended for Tier-3 brokers)</w:t>
      </w:r>
    </w:p>
    <w:p>
      <w:pPr>
        <w:numPr>
          <w:ilvl w:val="0"/>
          <w:numId w:val="1005"/>
        </w:numPr>
        <w:pStyle w:val="Compact"/>
      </w:pPr>
      <w:r>
        <w:t xml:space="preserve">☐ FIX Protocol (for Tier-2 banks with existing FIX infrastructure)</w:t>
      </w:r>
    </w:p>
    <w:p>
      <w:pPr>
        <w:numPr>
          <w:ilvl w:val="0"/>
          <w:numId w:val="1005"/>
        </w:numPr>
        <w:pStyle w:val="Compact"/>
      </w:pPr>
      <w:r>
        <w:t xml:space="preserve">☐ Hybrid (REST for management, FIX for order flow)</w:t>
      </w:r>
    </w:p>
    <w:bookmarkEnd w:id="28"/>
    <w:bookmarkStart w:id="29" w:name="infrastructure"/>
    <w:p>
      <w:pPr>
        <w:pStyle w:val="Heading3"/>
      </w:pPr>
      <w:r>
        <w:t xml:space="preserve">4.2 Infrastructure</w:t>
      </w:r>
    </w:p>
    <w:p>
      <w:pPr>
        <w:numPr>
          <w:ilvl w:val="0"/>
          <w:numId w:val="1006"/>
        </w:numPr>
        <w:pStyle w:val="Compact"/>
      </w:pPr>
      <w:r>
        <w:t xml:space="preserve">☐ Cloud-based (hosted by CRL Technologies)</w:t>
      </w:r>
    </w:p>
    <w:p>
      <w:pPr>
        <w:numPr>
          <w:ilvl w:val="0"/>
          <w:numId w:val="1006"/>
        </w:numPr>
        <w:pStyle w:val="Compact"/>
      </w:pPr>
      <w:r>
        <w:t xml:space="preserve">☐ On-premises deployment (for large institutions)</w:t>
      </w:r>
    </w:p>
    <w:p>
      <w:pPr>
        <w:numPr>
          <w:ilvl w:val="0"/>
          <w:numId w:val="1006"/>
        </w:numPr>
        <w:pStyle w:val="Compact"/>
      </w:pPr>
      <w:r>
        <w:t xml:space="preserve">☐ Hybrid architecture</w:t>
      </w:r>
    </w:p>
    <w:bookmarkEnd w:id="29"/>
    <w:bookmarkStart w:id="30" w:name="authentication"/>
    <w:p>
      <w:pPr>
        <w:pStyle w:val="Heading3"/>
      </w:pPr>
      <w:r>
        <w:t xml:space="preserve">4.3 Authentication</w:t>
      </w:r>
    </w:p>
    <w:p>
      <w:pPr>
        <w:numPr>
          <w:ilvl w:val="0"/>
          <w:numId w:val="1007"/>
        </w:numPr>
        <w:pStyle w:val="Compact"/>
      </w:pPr>
      <w:r>
        <w:t xml:space="preserve">☐ HMAC-SHA256 (standard)</w:t>
      </w:r>
    </w:p>
    <w:p>
      <w:pPr>
        <w:numPr>
          <w:ilvl w:val="0"/>
          <w:numId w:val="1007"/>
        </w:numPr>
        <w:pStyle w:val="Compact"/>
      </w:pPr>
      <w:r>
        <w:t xml:space="preserve">☐ mTLS (mutual TLS, recommended)</w:t>
      </w:r>
    </w:p>
    <w:p>
      <w:pPr>
        <w:numPr>
          <w:ilvl w:val="0"/>
          <w:numId w:val="1007"/>
        </w:numPr>
        <w:pStyle w:val="Compact"/>
      </w:pPr>
      <w:r>
        <w:t xml:space="preserve">☐ Both (defense-in-depth)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commercial-terms-indicative"/>
    <w:p>
      <w:pPr>
        <w:pStyle w:val="Heading2"/>
      </w:pPr>
      <w:r>
        <w:t xml:space="preserve">5. COMMERCIAL TERMS (INDICATIVE)</w:t>
      </w:r>
    </w:p>
    <w:bookmarkStart w:id="32" w:name="pilot-phase"/>
    <w:p>
      <w:pPr>
        <w:pStyle w:val="Heading3"/>
      </w:pPr>
      <w:r>
        <w:t xml:space="preserve">5.1 Pilot Phase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Setup Fee:</w:t>
      </w:r>
      <w:r>
        <w:t xml:space="preserve"> </w:t>
      </w:r>
      <w:r>
        <w:t xml:space="preserve">€10,000 - €50,000 (one-time, includes integration support)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Revenue Share:</w:t>
      </w:r>
      <w:r>
        <w:t xml:space="preserve"> </w:t>
      </w:r>
      <w:r>
        <w:t xml:space="preserve">35% - 45% of premium collected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Minimum Commitment:</w:t>
      </w:r>
      <w:r>
        <w:t xml:space="preserve"> </w:t>
      </w:r>
      <w:r>
        <w:t xml:space="preserve">3-month pilot with 10+ professional clients</w:t>
      </w:r>
    </w:p>
    <w:bookmarkEnd w:id="32"/>
    <w:bookmarkStart w:id="33" w:name="production-phase"/>
    <w:p>
      <w:pPr>
        <w:pStyle w:val="Heading3"/>
      </w:pPr>
      <w:r>
        <w:t xml:space="preserve">5.2 Production Phase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Monthly Licensing:</w:t>
      </w:r>
      <w:r>
        <w:t xml:space="preserve"> </w:t>
      </w:r>
      <w:r>
        <w:t xml:space="preserve">To be negotiated based on volume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Revenue Share:</w:t>
      </w:r>
      <w:r>
        <w:t xml:space="preserve"> </w:t>
      </w:r>
      <w:r>
        <w:t xml:space="preserve">30% - 40% (volume-tiered)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SLA:</w:t>
      </w:r>
      <w:r>
        <w:t xml:space="preserve"> </w:t>
      </w:r>
      <w:r>
        <w:t xml:space="preserve">99.5% uptime, &lt;100ms API response (tested: ~75ms median)</w:t>
      </w:r>
    </w:p>
    <w:p>
      <w:pPr>
        <w:pStyle w:val="FirstParagraph"/>
      </w:pPr>
      <w:r>
        <w:rPr>
          <w:iCs/>
          <w:i/>
        </w:rPr>
        <w:t xml:space="preserve">Note: Final commercial terms subject to negotiation and formal agreement.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7" w:name="regulatory-compliance"/>
    <w:p>
      <w:pPr>
        <w:pStyle w:val="Heading2"/>
      </w:pPr>
      <w:r>
        <w:t xml:space="preserve">6. REGULATORY &amp; COMPLIANCE</w:t>
      </w:r>
    </w:p>
    <w:bookmarkStart w:id="35" w:name="broker-representations"/>
    <w:p>
      <w:pPr>
        <w:pStyle w:val="Heading3"/>
      </w:pPr>
      <w:r>
        <w:t xml:space="preserve">6.1 Broker Representations</w:t>
      </w:r>
    </w:p>
    <w:p>
      <w:pPr>
        <w:pStyle w:val="FirstParagraph"/>
      </w:pPr>
      <w:r>
        <w:t xml:space="preserve">The Broker represents and warrants that:</w:t>
      </w:r>
      <w:r>
        <w:t xml:space="preserve"> </w:t>
      </w:r>
      <w:r>
        <w:t xml:space="preserve">- ✓ It is duly licensed to offer derivatives to professional clients</w:t>
      </w:r>
      <w:r>
        <w:t xml:space="preserve"> </w:t>
      </w:r>
      <w:r>
        <w:t xml:space="preserve">- ✓ It has adequate risk management and compliance infrastructure</w:t>
      </w:r>
      <w:r>
        <w:t xml:space="preserve"> </w:t>
      </w:r>
      <w:r>
        <w:t xml:space="preserve">- ✓ It will conduct proper suitability assessments for CRL products</w:t>
      </w:r>
      <w:r>
        <w:t xml:space="preserve"> </w:t>
      </w:r>
      <w:r>
        <w:t xml:space="preserve">- ✓ It will provide all required MiFID II disclosures and KIDs</w:t>
      </w:r>
    </w:p>
    <w:bookmarkEnd w:id="35"/>
    <w:bookmarkStart w:id="36" w:name="target-client-base"/>
    <w:p>
      <w:pPr>
        <w:pStyle w:val="Heading3"/>
      </w:pPr>
      <w:r>
        <w:t xml:space="preserve">6.2 Target Client Base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Only Eligible Counterparties</w:t>
      </w:r>
      <w:r>
        <w:t xml:space="preserve"> </w:t>
      </w:r>
      <w:r>
        <w:t xml:space="preserve">(per MiFID II Article 30)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Only Professional Clients</w:t>
      </w:r>
      <w:r>
        <w:t xml:space="preserve"> </w:t>
      </w:r>
      <w:r>
        <w:t xml:space="preserve">(per MiFID II Article 4(1)(10))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No retail clients</w:t>
      </w:r>
      <w:r>
        <w:t xml:space="preserve"> </w:t>
      </w:r>
      <w:r>
        <w:t xml:space="preserve">unless specifically authorized by national regulator</w:t>
      </w:r>
    </w:p>
    <w:p>
      <w:r>
        <w:pict>
          <v:rect style="width:0;height:1.5pt" o:hralign="center" o:hrstd="t" o:hr="t"/>
        </w:pict>
      </w:r>
    </w:p>
    <w:bookmarkEnd w:id="36"/>
    <w:bookmarkEnd w:id="37"/>
    <w:bookmarkStart w:id="38" w:name="confidentiality-nda"/>
    <w:p>
      <w:pPr>
        <w:pStyle w:val="Heading2"/>
      </w:pPr>
      <w:r>
        <w:t xml:space="preserve">7. CONFIDENTIALITY &amp; NDA</w:t>
      </w:r>
    </w:p>
    <w:p>
      <w:pPr>
        <w:pStyle w:val="FirstParagraph"/>
      </w:pPr>
      <w:r>
        <w:t xml:space="preserve">This Letter of Intent is subject to the execution of a mutual Non-Disclosure Agreement (NDA) covering:</w:t>
      </w:r>
      <w:r>
        <w:t xml:space="preserve"> </w:t>
      </w:r>
      <w:r>
        <w:t xml:space="preserve">- Technical specifications and API documentation</w:t>
      </w:r>
      <w:r>
        <w:t xml:space="preserve"> </w:t>
      </w:r>
      <w:r>
        <w:t xml:space="preserve">- Pricing and commercial terms</w:t>
      </w:r>
      <w:r>
        <w:t xml:space="preserve"> </w:t>
      </w:r>
      <w:r>
        <w:t xml:space="preserve">- Backtest results and performance data</w:t>
      </w:r>
      <w:r>
        <w:t xml:space="preserve"> </w:t>
      </w:r>
      <w:r>
        <w:t xml:space="preserve">- Client information and trading patterns</w:t>
      </w:r>
    </w:p>
    <w:p>
      <w:pPr>
        <w:pStyle w:val="BodyText"/>
      </w:pPr>
      <w:r>
        <w:rPr>
          <w:bCs/>
          <w:b/>
        </w:rPr>
        <w:t xml:space="preserve">NDA Status:</w:t>
      </w:r>
      <w:r>
        <w:t xml:space="preserve"> </w:t>
      </w:r>
      <w:r>
        <w:t xml:space="preserve">- [ ] To be executed concurrently with this LOI</w:t>
      </w:r>
      <w:r>
        <w:t xml:space="preserve"> </w:t>
      </w:r>
      <w:r>
        <w:t xml:space="preserve">- [ ] Already in place (dated: _____________)</w:t>
      </w:r>
    </w:p>
    <w:p>
      <w:r>
        <w:pict>
          <v:rect style="width:0;height:1.5pt" o:hralign="center" o:hrstd="t" o:hr="t"/>
        </w:pict>
      </w:r>
    </w:p>
    <w:bookmarkEnd w:id="38"/>
    <w:bookmarkStart w:id="43" w:name="next-steps-timeline"/>
    <w:p>
      <w:pPr>
        <w:pStyle w:val="Heading2"/>
      </w:pPr>
      <w:r>
        <w:t xml:space="preserve">8. NEXT STEPS &amp; TIMELINE</w:t>
      </w:r>
    </w:p>
    <w:bookmarkStart w:id="39" w:name="week-1-2-discovery-onboarding"/>
    <w:p>
      <w:pPr>
        <w:pStyle w:val="Heading3"/>
      </w:pPr>
      <w:r>
        <w:t xml:space="preserve">Week 1-2: Discovery &amp; Onboarding</w:t>
      </w:r>
    </w:p>
    <w:p>
      <w:pPr>
        <w:numPr>
          <w:ilvl w:val="0"/>
          <w:numId w:val="1011"/>
        </w:numPr>
        <w:pStyle w:val="Compact"/>
      </w:pPr>
      <w:r>
        <w:t xml:space="preserve">✓ NDA execution</w:t>
      </w:r>
    </w:p>
    <w:p>
      <w:pPr>
        <w:numPr>
          <w:ilvl w:val="0"/>
          <w:numId w:val="1011"/>
        </w:numPr>
        <w:pStyle w:val="Compact"/>
      </w:pPr>
      <w:r>
        <w:t xml:space="preserve">✓ Sandbox credentials provisioned</w:t>
      </w:r>
    </w:p>
    <w:p>
      <w:pPr>
        <w:numPr>
          <w:ilvl w:val="0"/>
          <w:numId w:val="1011"/>
        </w:numPr>
        <w:pStyle w:val="Compact"/>
      </w:pPr>
      <w:r>
        <w:t xml:space="preserve">✓ Technical documentation package delivered</w:t>
      </w:r>
    </w:p>
    <w:p>
      <w:pPr>
        <w:numPr>
          <w:ilvl w:val="0"/>
          <w:numId w:val="1011"/>
        </w:numPr>
        <w:pStyle w:val="Compact"/>
      </w:pPr>
      <w:r>
        <w:t xml:space="preserve">✓ Kickoff call (CTO, Risk, Compliance teams)</w:t>
      </w:r>
    </w:p>
    <w:bookmarkEnd w:id="39"/>
    <w:bookmarkStart w:id="40" w:name="week-3-4-technical-integration"/>
    <w:p>
      <w:pPr>
        <w:pStyle w:val="Heading3"/>
      </w:pPr>
      <w:r>
        <w:t xml:space="preserve">Week 3-4: Technical Integration</w:t>
      </w:r>
    </w:p>
    <w:p>
      <w:pPr>
        <w:numPr>
          <w:ilvl w:val="0"/>
          <w:numId w:val="1012"/>
        </w:numPr>
        <w:pStyle w:val="Compact"/>
      </w:pPr>
      <w:r>
        <w:t xml:space="preserve">✓ REST API or FIX integration</w:t>
      </w:r>
    </w:p>
    <w:p>
      <w:pPr>
        <w:numPr>
          <w:ilvl w:val="0"/>
          <w:numId w:val="1012"/>
        </w:numPr>
        <w:pStyle w:val="Compact"/>
      </w:pPr>
      <w:r>
        <w:t xml:space="preserve">✓ HMAC/mTLS authentication setup</w:t>
      </w:r>
    </w:p>
    <w:p>
      <w:pPr>
        <w:numPr>
          <w:ilvl w:val="0"/>
          <w:numId w:val="1012"/>
        </w:numPr>
        <w:pStyle w:val="Compact"/>
      </w:pPr>
      <w:r>
        <w:t xml:space="preserve">✓ UAT environment testing</w:t>
      </w:r>
    </w:p>
    <w:p>
      <w:pPr>
        <w:numPr>
          <w:ilvl w:val="0"/>
          <w:numId w:val="1012"/>
        </w:numPr>
        <w:pStyle w:val="Compact"/>
      </w:pPr>
      <w:r>
        <w:t xml:space="preserve">✓ Compliance pack review</w:t>
      </w:r>
    </w:p>
    <w:bookmarkEnd w:id="40"/>
    <w:bookmarkStart w:id="41" w:name="week-5-8-pilot-launch"/>
    <w:p>
      <w:pPr>
        <w:pStyle w:val="Heading3"/>
      </w:pPr>
      <w:r>
        <w:t xml:space="preserve">Week 5-8: Pilot Launch</w:t>
      </w:r>
    </w:p>
    <w:p>
      <w:pPr>
        <w:numPr>
          <w:ilvl w:val="0"/>
          <w:numId w:val="1013"/>
        </w:numPr>
        <w:pStyle w:val="Compact"/>
      </w:pPr>
      <w:r>
        <w:t xml:space="preserve">✓ 5-10 professional clients onboarded</w:t>
      </w:r>
    </w:p>
    <w:p>
      <w:pPr>
        <w:numPr>
          <w:ilvl w:val="0"/>
          <w:numId w:val="1013"/>
        </w:numPr>
        <w:pStyle w:val="Compact"/>
      </w:pPr>
      <w:r>
        <w:t xml:space="preserve">✓ Live trading with real positions</w:t>
      </w:r>
    </w:p>
    <w:p>
      <w:pPr>
        <w:numPr>
          <w:ilvl w:val="0"/>
          <w:numId w:val="1013"/>
        </w:numPr>
        <w:pStyle w:val="Compact"/>
      </w:pPr>
      <w:r>
        <w:t xml:space="preserve">✓ Daily reconciliation and reporting</w:t>
      </w:r>
    </w:p>
    <w:p>
      <w:pPr>
        <w:numPr>
          <w:ilvl w:val="0"/>
          <w:numId w:val="1013"/>
        </w:numPr>
        <w:pStyle w:val="Compact"/>
      </w:pPr>
      <w:r>
        <w:t xml:space="preserve">✓ Weekly performance review calls</w:t>
      </w:r>
    </w:p>
    <w:bookmarkEnd w:id="41"/>
    <w:bookmarkStart w:id="42" w:name="week-9-12-evaluation-scale"/>
    <w:p>
      <w:pPr>
        <w:pStyle w:val="Heading3"/>
      </w:pPr>
      <w:r>
        <w:t xml:space="preserve">Week 9-12: Evaluation &amp; Scale</w:t>
      </w:r>
    </w:p>
    <w:p>
      <w:pPr>
        <w:numPr>
          <w:ilvl w:val="0"/>
          <w:numId w:val="1014"/>
        </w:numPr>
        <w:pStyle w:val="Compact"/>
      </w:pPr>
      <w:r>
        <w:t xml:space="preserve">✓ Pilot performance analysis</w:t>
      </w:r>
    </w:p>
    <w:p>
      <w:pPr>
        <w:numPr>
          <w:ilvl w:val="0"/>
          <w:numId w:val="1014"/>
        </w:numPr>
        <w:pStyle w:val="Compact"/>
      </w:pPr>
      <w:r>
        <w:t xml:space="preserve">✓ Commercial terms finalization</w:t>
      </w:r>
    </w:p>
    <w:p>
      <w:pPr>
        <w:numPr>
          <w:ilvl w:val="0"/>
          <w:numId w:val="1014"/>
        </w:numPr>
        <w:pStyle w:val="Compact"/>
      </w:pPr>
      <w:r>
        <w:t xml:space="preserve">✓ Full production rollout planning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termination"/>
    <w:p>
      <w:pPr>
        <w:pStyle w:val="Heading2"/>
      </w:pPr>
      <w:r>
        <w:t xml:space="preserve">9. TERMINATION</w:t>
      </w:r>
    </w:p>
    <w:p>
      <w:pPr>
        <w:pStyle w:val="FirstParagraph"/>
      </w:pPr>
      <w:r>
        <w:t xml:space="preserve">Either party may terminate this Letter of Intent:</w:t>
      </w:r>
      <w:r>
        <w:t xml:space="preserve"> </w:t>
      </w:r>
      <w:r>
        <w:t xml:space="preserve">- With 30 days’ written notice during pilot phase</w:t>
      </w:r>
      <w:r>
        <w:t xml:space="preserve"> </w:t>
      </w:r>
      <w:r>
        <w:t xml:space="preserve">- Immediately if regulatory approval is denied</w:t>
      </w:r>
      <w:r>
        <w:t xml:space="preserve"> </w:t>
      </w:r>
      <w:r>
        <w:t xml:space="preserve">- Immediately upon material breach of confidentiality obligations</w:t>
      </w:r>
    </w:p>
    <w:p>
      <w:r>
        <w:pict>
          <v:rect style="width:0;height:1.5pt" o:hralign="center" o:hrstd="t" o:hr="t"/>
        </w:pict>
      </w:r>
    </w:p>
    <w:bookmarkEnd w:id="44"/>
    <w:bookmarkStart w:id="45" w:name="non-binding-nature"/>
    <w:p>
      <w:pPr>
        <w:pStyle w:val="Heading2"/>
      </w:pPr>
      <w:r>
        <w:t xml:space="preserve">10. NON-BINDING NATURE</w:t>
      </w:r>
    </w:p>
    <w:p>
      <w:pPr>
        <w:pStyle w:val="FirstParagraph"/>
      </w:pPr>
      <w:r>
        <w:t xml:space="preserve">This Letter of Intent is</w:t>
      </w:r>
      <w:r>
        <w:t xml:space="preserve"> </w:t>
      </w:r>
      <w:r>
        <w:rPr>
          <w:bCs/>
          <w:b/>
        </w:rPr>
        <w:t xml:space="preserve">non-binding</w:t>
      </w:r>
      <w:r>
        <w:t xml:space="preserve"> </w:t>
      </w:r>
      <w:r>
        <w:t xml:space="preserve">except for:</w:t>
      </w:r>
      <w:r>
        <w:t xml:space="preserve"> </w:t>
      </w:r>
      <w:r>
        <w:t xml:space="preserve">- Confidentiality obligations (Sections 7)</w:t>
      </w:r>
      <w:r>
        <w:t xml:space="preserve"> </w:t>
      </w:r>
      <w:r>
        <w:t xml:space="preserve">- Good faith negotiation commitment</w:t>
      </w:r>
      <w:r>
        <w:t xml:space="preserve"> </w:t>
      </w:r>
      <w:r>
        <w:t xml:space="preserve">- Regulatory compliance requirements (Section 6)</w:t>
      </w:r>
    </w:p>
    <w:p>
      <w:pPr>
        <w:pStyle w:val="BodyText"/>
      </w:pPr>
      <w:r>
        <w:t xml:space="preserve">Final binding terms will be set forth in a definitive Master Services Agreement.</w:t>
      </w:r>
    </w:p>
    <w:p>
      <w:r>
        <w:pict>
          <v:rect style="width:0;height:1.5pt" o:hralign="center" o:hrstd="t" o:hr="t"/>
        </w:pict>
      </w:r>
    </w:p>
    <w:bookmarkEnd w:id="45"/>
    <w:bookmarkStart w:id="46" w:name="governing-law"/>
    <w:p>
      <w:pPr>
        <w:pStyle w:val="Heading2"/>
      </w:pPr>
      <w:r>
        <w:t xml:space="preserve">11. GOVERNING LAW</w:t>
      </w:r>
    </w:p>
    <w:p>
      <w:pPr>
        <w:pStyle w:val="FirstParagraph"/>
      </w:pPr>
      <w:r>
        <w:t xml:space="preserve">This Letter of Intent shall be governed by the laws of:</w:t>
      </w:r>
      <w:r>
        <w:t xml:space="preserve"> </w:t>
      </w:r>
      <w:r>
        <w:t xml:space="preserve">- [ ] Delaware, United States</w:t>
      </w:r>
      <w:r>
        <w:t xml:space="preserve"> </w:t>
      </w:r>
      <w:r>
        <w:t xml:space="preserve">- [ ] England &amp; Wales, United Kingdom</w:t>
      </w:r>
      <w:r>
        <w:t xml:space="preserve"> </w:t>
      </w:r>
      <w:r>
        <w:t xml:space="preserve">- [ ] Other: _____________________________________________</w:t>
      </w:r>
    </w:p>
    <w:p>
      <w:r>
        <w:pict>
          <v:rect style="width:0;height:1.5pt" o:hralign="center" o:hrstd="t" o:hr="t"/>
        </w:pict>
      </w:r>
    </w:p>
    <w:bookmarkEnd w:id="46"/>
    <w:bookmarkStart w:id="49" w:name="signatures"/>
    <w:p>
      <w:pPr>
        <w:pStyle w:val="Heading2"/>
      </w:pPr>
      <w:r>
        <w:t xml:space="preserve">SIGNATURES</w:t>
      </w:r>
    </w:p>
    <w:bookmarkStart w:id="47" w:name="crl-technologies-inc."/>
    <w:p>
      <w:pPr>
        <w:pStyle w:val="Heading3"/>
      </w:pPr>
      <w:r>
        <w:t xml:space="preserve">CRL Technologies Inc.</w:t>
      </w:r>
    </w:p>
    <w:p>
      <w:pPr>
        <w:pStyle w:val="FirstParagraph"/>
      </w:pPr>
      <w:r>
        <w:rPr>
          <w:bCs/>
          <w:b/>
        </w:rPr>
        <w:t xml:space="preserve">Signature:</w:t>
      </w:r>
      <w:r>
        <w:t xml:space="preserve"> </w:t>
      </w:r>
      <w:r>
        <w:t xml:space="preserve">_________________________</w:t>
      </w:r>
      <w:r>
        <w:br/>
      </w:r>
      <w:r>
        <w:rPr>
          <w:bCs/>
          <w:b/>
        </w:rPr>
        <w:t xml:space="preserve">Name:</w:t>
      </w:r>
      <w:r>
        <w:t xml:space="preserve"> </w:t>
      </w:r>
      <w:r>
        <w:t xml:space="preserve">Andrea Riccardo Galié</w:t>
      </w:r>
      <w:r>
        <w:br/>
      </w:r>
      <w:r>
        <w:rPr>
          <w:bCs/>
          <w:b/>
        </w:rPr>
        <w:t xml:space="preserve">Title:</w:t>
      </w:r>
      <w:r>
        <w:t xml:space="preserve"> </w:t>
      </w:r>
      <w:r>
        <w:t xml:space="preserve">Chief Executive Officer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_____________</w:t>
      </w:r>
    </w:p>
    <w:p>
      <w:r>
        <w:pict>
          <v:rect style="width:0;height:1.5pt" o:hralign="center" o:hrstd="t" o:hr="t"/>
        </w:pict>
      </w:r>
    </w:p>
    <w:bookmarkEnd w:id="47"/>
    <w:bookmarkStart w:id="48" w:name="broker-prospective-partner"/>
    <w:p>
      <w:pPr>
        <w:pStyle w:val="Heading3"/>
      </w:pPr>
      <w:r>
        <w:t xml:space="preserve">Broker (Prospective Partner)</w:t>
      </w:r>
    </w:p>
    <w:p>
      <w:pPr>
        <w:pStyle w:val="FirstParagraph"/>
      </w:pPr>
      <w:r>
        <w:rPr>
          <w:bCs/>
          <w:b/>
        </w:rPr>
        <w:t xml:space="preserve">Signature:</w:t>
      </w:r>
      <w:r>
        <w:t xml:space="preserve"> </w:t>
      </w:r>
      <w:r>
        <w:t xml:space="preserve">_________________________</w:t>
      </w:r>
      <w:r>
        <w:br/>
      </w:r>
      <w:r>
        <w:rPr>
          <w:bCs/>
          <w:b/>
        </w:rPr>
        <w:t xml:space="preserve">Name:</w:t>
      </w:r>
      <w:r>
        <w:t xml:space="preserve"> </w:t>
      </w:r>
      <w:r>
        <w:t xml:space="preserve">_____________________________________________</w:t>
      </w:r>
      <w:r>
        <w:br/>
      </w:r>
      <w:r>
        <w:rPr>
          <w:bCs/>
          <w:b/>
        </w:rPr>
        <w:t xml:space="preserve">Title:</w:t>
      </w:r>
      <w:r>
        <w:t xml:space="preserve"> </w:t>
      </w:r>
      <w:r>
        <w:t xml:space="preserve">_____________________________________________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_____________</w:t>
      </w:r>
    </w:p>
    <w:p>
      <w:pPr>
        <w:pStyle w:val="BodyText"/>
      </w:pPr>
      <w:r>
        <w:rPr>
          <w:bCs/>
          <w:b/>
        </w:rPr>
        <w:t xml:space="preserve">Company Stamp/Seal:</w:t>
      </w:r>
      <w:r>
        <w:t xml:space="preserve"> </w:t>
      </w:r>
      <w:r>
        <w:t xml:space="preserve">[If applicable]</w:t>
      </w:r>
    </w:p>
    <w:p>
      <w:r>
        <w:pict>
          <v:rect style="width:0;height:1.5pt" o:hralign="center" o:hrstd="t" o:hr="t"/>
        </w:pict>
      </w:r>
    </w:p>
    <w:bookmarkEnd w:id="48"/>
    <w:bookmarkEnd w:id="49"/>
    <w:bookmarkStart w:id="50" w:name="appendix-a-immediate-action-items"/>
    <w:p>
      <w:pPr>
        <w:pStyle w:val="Heading2"/>
      </w:pPr>
      <w:r>
        <w:t xml:space="preserve">APPENDIX A: IMMEDIATE ACTION ITEMS</w:t>
      </w:r>
    </w:p>
    <w:p>
      <w:pPr>
        <w:pStyle w:val="FirstParagraph"/>
      </w:pPr>
      <w:r>
        <w:t xml:space="preserve">After LOI execution, CRL Technologies will provide within 48 hours:</w:t>
      </w:r>
    </w:p>
    <w:p>
      <w:pPr>
        <w:numPr>
          <w:ilvl w:val="0"/>
          <w:numId w:val="1015"/>
        </w:numPr>
        <w:pStyle w:val="Compact"/>
      </w:pPr>
      <w:r>
        <w:t xml:space="preserve">✓ Sandbox API credentials (tenant ID + HMAC secret)</w:t>
      </w:r>
    </w:p>
    <w:p>
      <w:pPr>
        <w:numPr>
          <w:ilvl w:val="0"/>
          <w:numId w:val="1015"/>
        </w:numPr>
        <w:pStyle w:val="Compact"/>
      </w:pPr>
      <w:r>
        <w:t xml:space="preserve">✓ Postman collection for API testing</w:t>
      </w:r>
    </w:p>
    <w:p>
      <w:pPr>
        <w:numPr>
          <w:ilvl w:val="0"/>
          <w:numId w:val="1015"/>
        </w:numPr>
        <w:pStyle w:val="Compact"/>
      </w:pPr>
      <w:r>
        <w:t xml:space="preserve">✓ SDK packages (Python, C++, Java, TypeScript, Go)</w:t>
      </w:r>
    </w:p>
    <w:p>
      <w:pPr>
        <w:numPr>
          <w:ilvl w:val="0"/>
          <w:numId w:val="1015"/>
        </w:numPr>
        <w:pStyle w:val="Compact"/>
      </w:pPr>
      <w:r>
        <w:t xml:space="preserve">✓ mTLS certificate signing instructions</w:t>
      </w:r>
    </w:p>
    <w:p>
      <w:pPr>
        <w:numPr>
          <w:ilvl w:val="0"/>
          <w:numId w:val="1015"/>
        </w:numPr>
        <w:pStyle w:val="Compact"/>
      </w:pPr>
      <w:r>
        <w:t xml:space="preserve">✓ Compliance documentation pack (gated)</w:t>
      </w:r>
    </w:p>
    <w:p>
      <w:pPr>
        <w:numPr>
          <w:ilvl w:val="0"/>
          <w:numId w:val="1015"/>
        </w:numPr>
        <w:pStyle w:val="Compact"/>
      </w:pPr>
      <w:r>
        <w:t xml:space="preserve">✓ Technical integration guide</w:t>
      </w:r>
    </w:p>
    <w:p>
      <w:pPr>
        <w:numPr>
          <w:ilvl w:val="0"/>
          <w:numId w:val="1015"/>
        </w:numPr>
        <w:pStyle w:val="Compact"/>
      </w:pPr>
      <w:r>
        <w:t xml:space="preserve">✓ Backtest methodology (under NDA)</w:t>
      </w:r>
    </w:p>
    <w:p>
      <w:pPr>
        <w:pStyle w:val="FirstParagraph"/>
      </w:pPr>
      <w:r>
        <w:rPr>
          <w:bCs/>
          <w:b/>
        </w:rPr>
        <w:t xml:space="preserve">Next Call Scheduled:</w:t>
      </w:r>
      <w:r>
        <w:t xml:space="preserve"> </w:t>
      </w:r>
      <w:r>
        <w:t xml:space="preserve">Within 5 business days of LOI signature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For questions or clarifications, contact: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support@crl-technologies.com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https://crl-technologies.com</w:t>
      </w:r>
      <w:r>
        <w:br/>
      </w:r>
      <w:r>
        <w:rPr>
          <w:bCs/>
          <w:b/>
        </w:rPr>
        <w:t xml:space="preserve">API Documentation:</w:t>
      </w:r>
      <w:r>
        <w:t xml:space="preserve"> </w:t>
      </w:r>
      <w:r>
        <w:t xml:space="preserve">https://crl-api.crl-technologies.com (after onboarding)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This template is for informational purposes only and does not constitute legal advice. Consult with qualified legal counsel before signing any binding agreements.</w:t>
      </w:r>
    </w:p>
    <w:p>
      <w:pPr>
        <w:pStyle w:val="BodyText"/>
      </w:pPr>
      <w:r>
        <w:rPr>
          <w:bCs/>
          <w:b/>
        </w:rPr>
        <w:t xml:space="preserve">Version:</w:t>
      </w:r>
      <w:r>
        <w:t xml:space="preserve"> </w:t>
      </w:r>
      <w:r>
        <w:t xml:space="preserve">1.0</w:t>
      </w:r>
      <w:r>
        <w:br/>
      </w:r>
      <w:r>
        <w:rPr>
          <w:bCs/>
          <w:b/>
        </w:rPr>
        <w:t xml:space="preserve">Last Updated:</w:t>
      </w:r>
      <w:r>
        <w:t xml:space="preserve"> </w:t>
      </w:r>
      <w:r>
        <w:t xml:space="preserve">November 2025</w:t>
      </w:r>
      <w:r>
        <w:br/>
      </w:r>
      <w:r>
        <w:rPr>
          <w:bCs/>
          <w:b/>
        </w:rPr>
        <w:t xml:space="preserve">Document Code:</w:t>
      </w:r>
      <w:r>
        <w:t xml:space="preserve"> </w:t>
      </w:r>
      <w:r>
        <w:t xml:space="preserve">CRL-LOI-PILOT-2025</w:t>
      </w:r>
    </w:p>
    <w:bookmarkEnd w:id="50"/>
    <w:bookmarkEnd w:id="5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2025-11-20T10:22:58Z</dcterms:created>
  <dcterms:modified xsi:type="dcterms:W3CDTF">2025-11-20T10:22:58Z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